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  <w:t xml:space="preserve">Logotipo da escola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Escola Municipal _________________________, em conformidade com o Decreto Municipal 14.899/12, que dispõe sobre procedimento para desfazimento de Livros Didáticos, repassa os livros abaixo listados, sob a  forma de doação, aos estudantes da própria escola como instrumento de pesquisa e suporte de estudo.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ESPECIFICAÇÃO DO MATERIAL DOADO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3"/>
        <w:gridCol w:w="3891"/>
        <w:gridCol w:w="1"/>
        <w:gridCol w:w="3361"/>
        <w:gridCol w:w="1362"/>
      </w:tblGrid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Triênio</w:t>
            </w: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Disciplina</w:t>
            </w: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Quantidade</w:t>
            </w: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ASSINATURA DOS DONATÁRIOS: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1"/>
        <w:gridCol w:w="8847"/>
      </w:tblGrid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materiais são doados sem encargos ou condições para os donatários.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por estarem de acordo firmam o presente termo de doação.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Belo Horizonte_____de___________2017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Comissão gestora do livro didático: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Professor: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Auxiliar de Biblioteca: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Bibliotecário: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4"/>
          <w:shd w:fill="auto" w:val="clear"/>
        </w:rPr>
        <w:t xml:space="preserve">A comissão gestora do Livro didático deve ser instituída na escola e sua existência deve ser levada ao conhecimento do colegiado e registrada em ata, conforme o decreto 14.899/12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